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2F7EA">
      <w:pPr>
        <w:keepNext w:val="0"/>
        <w:keepLines w:val="0"/>
        <w:widowControl/>
        <w:suppressLineNumbers w:val="0"/>
        <w:jc w:val="center"/>
        <w:rPr>
          <w:rFonts w:ascii="FZXiaoBiaoSong-B05S" w:hAnsi="FZXiaoBiaoSong-B05S" w:eastAsia="FZXiaoBiaoSong-B05S" w:cs="FZXiaoBiaoSong-B05S"/>
          <w:color w:val="000000"/>
          <w:kern w:val="0"/>
          <w:sz w:val="43"/>
          <w:szCs w:val="43"/>
          <w:lang w:val="en-US" w:eastAsia="zh-CN" w:bidi="ar"/>
        </w:rPr>
      </w:pPr>
      <w:r>
        <w:rPr>
          <w:rFonts w:ascii="FZXiaoBiaoSong-B05S" w:hAnsi="FZXiaoBiaoSong-B05S" w:eastAsia="FZXiaoBiaoSong-B05S" w:cs="FZXiaoBiaoSong-B05S"/>
          <w:color w:val="000000"/>
          <w:kern w:val="0"/>
          <w:sz w:val="43"/>
          <w:szCs w:val="43"/>
          <w:lang w:val="en-US" w:eastAsia="zh-CN" w:bidi="ar"/>
        </w:rPr>
        <w:t>传染病智能监测预警前置软件服务器</w:t>
      </w:r>
    </w:p>
    <w:p w14:paraId="7043A580">
      <w:pPr>
        <w:keepNext w:val="0"/>
        <w:keepLines w:val="0"/>
        <w:widowControl/>
        <w:suppressLineNumbers w:val="0"/>
        <w:jc w:val="center"/>
      </w:pPr>
      <w:r>
        <w:rPr>
          <w:rFonts w:hint="default" w:ascii="FZXiaoBiaoSong-B05S" w:hAnsi="FZXiaoBiaoSong-B05S" w:eastAsia="FZXiaoBiaoSong-B05S" w:cs="FZXiaoBiaoSong-B05S"/>
          <w:color w:val="000000"/>
          <w:kern w:val="0"/>
          <w:sz w:val="43"/>
          <w:szCs w:val="43"/>
          <w:lang w:val="en-US" w:eastAsia="zh-CN" w:bidi="ar"/>
        </w:rPr>
        <w:t>软硬件环境配置的要求</w:t>
      </w:r>
    </w:p>
    <w:p w14:paraId="54133D12">
      <w:pPr>
        <w:keepNext w:val="0"/>
        <w:keepLines w:val="0"/>
        <w:widowControl/>
        <w:suppressLineNumbers w:val="0"/>
        <w:ind w:firstLine="62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7F598C2C">
      <w:pPr>
        <w:keepNext w:val="0"/>
        <w:keepLines w:val="0"/>
        <w:widowControl/>
        <w:suppressLineNumbers w:val="0"/>
        <w:ind w:firstLine="420" w:firstLineChars="200"/>
        <w:jc w:val="left"/>
      </w:pPr>
    </w:p>
    <w:p w14:paraId="27EECB8E"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一、服务器配置要求 </w:t>
      </w:r>
    </w:p>
    <w:p w14:paraId="12E557A8"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 </w:t>
      </w:r>
    </w:p>
    <w:p w14:paraId="2E70AAFA"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服务器软硬件运行配置的基本要求如下： </w:t>
      </w:r>
    </w:p>
    <w:p w14:paraId="5E62E098"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（一）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CPU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：采用国产自研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CPU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，物理核数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≥64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核； </w:t>
      </w:r>
    </w:p>
    <w:p w14:paraId="2663632E"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（二）内存：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≥256GB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； </w:t>
      </w:r>
    </w:p>
    <w:p w14:paraId="7C2C0C99"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（三）存储空间：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≥1T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，存储介质类型：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SSD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； </w:t>
      </w:r>
    </w:p>
    <w:p w14:paraId="79164E5E"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（四）配置双网卡； </w:t>
      </w:r>
    </w:p>
    <w:p w14:paraId="2EDF7B88"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（五）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GPU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卡或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NPU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卡支持：可选配备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GPU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或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NPU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卡，便于提高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AI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算法计算速度和准确性，推荐传染病病例数量多的医疗机构选配； </w:t>
      </w:r>
    </w:p>
    <w:p w14:paraId="24B65C3B"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（六）操作系统：使用麒麟、欧拉、统信（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OpenEuler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内核版本）等国产操作系统的服务器版； </w:t>
      </w:r>
    </w:p>
    <w:p w14:paraId="6185F857"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（七）数据库支持：前置软件已统一配备了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OpenGauss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，服 </w:t>
      </w:r>
    </w:p>
    <w:p w14:paraId="7A7034E2"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务器需支持运行此架构数据库。 </w:t>
      </w:r>
    </w:p>
    <w:p w14:paraId="36A14000"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具体配置可依据机构类别、交换数据范围、门诊人次数等因 </w:t>
      </w:r>
    </w:p>
    <w:p w14:paraId="3E7F02A6"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素调整。相关信创要求，可参考中国信息安全评测中心发布的《安全可靠测评结果公告（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2023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年第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1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号）》《安全可靠测评结果公告（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2024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年第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1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号）》。</w:t>
      </w:r>
    </w:p>
    <w:p w14:paraId="1018C295"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二、安全相关配置要求 </w:t>
      </w:r>
    </w:p>
    <w:p w14:paraId="3AE4D082"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为保障前置软件安全运行，各医疗机构需保障其部署环境安 </w:t>
      </w:r>
    </w:p>
    <w:p w14:paraId="3D1AD0A3"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全和数据存储安全。按需自行配备防病毒、防火墙、入侵防御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IPS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URL 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过滤等安全相关功能的设备。必须配备单位数字证书（采用国密算法，应采用双证书即包含有签名证书和加密证书，分别用于数字签名及数据加密）和按需配套密码产品或服务以保障存储、传输的完整性、保密性和不可否认性，所用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CA 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证书应与现有传染病网络直报系统采用的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CA 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证书兼容互认。同时医疗机构需建立工作制度，做好前置软件的日常运维和安全保障工作，发现安全问题或漏洞，及时提交相关方处置。 </w:t>
      </w:r>
    </w:p>
    <w:p w14:paraId="4DCFAF1F">
      <w:pPr>
        <w:keepNext w:val="0"/>
        <w:keepLines w:val="0"/>
        <w:widowControl/>
        <w:suppressLineNumbers w:val="0"/>
        <w:jc w:val="left"/>
        <w:rPr>
          <w:rFonts w:hint="eastAsia" w:ascii="黑体" w:hAnsi="宋体" w:eastAsia="黑体" w:cs="黑体"/>
          <w:color w:val="000000"/>
          <w:sz w:val="31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sz w:val="31"/>
          <w:lang w:val="en-US" w:eastAsia="zh-CN" w:bidi="ar"/>
        </w:rPr>
        <w:t>三、宽带要求：能联通专网的专线。</w:t>
      </w:r>
    </w:p>
    <w:p w14:paraId="DD3FCACF">
      <w:pPr>
        <w:keepNext w:val="0"/>
        <w:keepLines w:val="0"/>
        <w:widowControl/>
        <w:suppressLineNumbers w:val="0"/>
        <w:jc w:val="left"/>
        <w:rPr>
          <w:rFonts w:hint="eastAsia" w:ascii="黑体" w:hAnsi="宋体" w:eastAsia="黑体" w:cs="黑体"/>
          <w:color w:val="000000"/>
          <w:sz w:val="31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sz w:val="31"/>
          <w:lang w:val="en-US" w:eastAsia="zh-CN" w:bidi="ar"/>
        </w:rPr>
        <w:t>四、对接要求：国家传染病监测系统、院内HIS对接。</w:t>
      </w:r>
    </w:p>
    <w:p w14:paraId="1EE98344"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五</w:t>
      </w:r>
      <w:bookmarkStart w:id="0" w:name="_GoBack"/>
      <w:bookmarkEnd w:id="0"/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、工作保障相关要求 </w:t>
      </w:r>
    </w:p>
    <w:p w14:paraId="137D480D"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为保障前置软件安全可靠连续运行，需协调相关网络管理团队、安全管理团队、软件开发和运维团队，支持前置软件的实施部署方，做好软件的对接、运行保障以及安全保障工作。</w:t>
      </w:r>
    </w:p>
    <w:p w14:paraId="4D5E226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FZXiaoBiaoSong-B05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513818"/>
    <w:rsid w:val="0F1A4BDD"/>
    <w:rsid w:val="3D513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705</Words>
  <Characters>759</Characters>
  <Lines>0</Lines>
  <Paragraphs>0</Paragraphs>
  <TotalTime>6</TotalTime>
  <ScaleCrop>false</ScaleCrop>
  <LinksUpToDate>false</LinksUpToDate>
  <CharactersWithSpaces>782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2025-01-15T09:05:00Z</dcterms:created>
  <dc:creator>冯德伦</dc:creator>
  <cp:lastModifiedBy>冯德伦</cp:lastModifiedBy>
  <dcterms:modified xsi:type="dcterms:W3CDTF">2025-01-15T09:19:54Z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333D63F28DA44C11A9DDC3AE4006C53E_11</vt:lpwstr>
  </property>
  <property fmtid="{D5CDD505-2E9C-101B-9397-08002B2CF9AE}" pid="4" name="KSOTemplateDocerSaveRecord">
    <vt:lpwstr>eyJoZGlkIjoiZjg4ODA2NzliMjRlOTBjOTI5M2M3ZDM4ZDM4OGZlZDYiLCJ1c2VySWQiOiIyNjExOTk1MDUifQ==</vt:lpwstr>
  </property>
</Properties>
</file>